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Default="00257598" w:rsidP="00BC6618">
      <w:pPr>
        <w:shd w:val="clear" w:color="auto" w:fill="FFFFFF"/>
        <w:spacing w:after="150" w:line="279" w:lineRule="atLeast"/>
        <w:jc w:val="both"/>
        <w:rPr>
          <w:rFonts w:eastAsia="Times New Roman" w:cstheme="minorHAnsi"/>
          <w:szCs w:val="20"/>
          <w:lang w:eastAsia="tr-TR"/>
        </w:rPr>
      </w:pPr>
    </w:p>
    <w:p w14:paraId="01432857" w14:textId="77777777" w:rsidR="003E5542" w:rsidRPr="003E5542" w:rsidRDefault="003E5542" w:rsidP="003E5542">
      <w:pPr>
        <w:shd w:val="clear" w:color="auto" w:fill="FFFFFF"/>
        <w:spacing w:after="150" w:line="279" w:lineRule="atLeast"/>
        <w:jc w:val="both"/>
        <w:rPr>
          <w:rFonts w:eastAsia="Times New Roman" w:cstheme="minorHAnsi"/>
          <w:b/>
          <w:bCs/>
          <w:szCs w:val="20"/>
          <w:lang w:eastAsia="tr-TR"/>
        </w:rPr>
      </w:pPr>
      <w:r w:rsidRPr="003E5542">
        <w:rPr>
          <w:rFonts w:eastAsia="Times New Roman" w:cstheme="minorHAnsi"/>
          <w:b/>
          <w:bCs/>
          <w:szCs w:val="20"/>
          <w:lang w:eastAsia="tr-TR"/>
        </w:rPr>
        <w:t>TEDARİK ZİNCİRİ POLİTİKASI</w:t>
      </w:r>
    </w:p>
    <w:p w14:paraId="086F39EC"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w:t>
      </w:r>
      <w:r w:rsidRPr="003E5542">
        <w:rPr>
          <w:rFonts w:eastAsia="Times New Roman" w:cstheme="minorHAnsi"/>
          <w:i/>
          <w:iCs/>
          <w:szCs w:val="20"/>
          <w:lang w:eastAsia="tr-TR"/>
        </w:rPr>
        <w:t>Sürdürülebilirlik, güvenilirlik ve etik değerler doğrultusunda</w:t>
      </w:r>
      <w:r w:rsidRPr="003E5542">
        <w:rPr>
          <w:rFonts w:eastAsia="Times New Roman" w:cstheme="minorHAnsi"/>
          <w:szCs w:val="20"/>
          <w:lang w:eastAsia="tr-TR"/>
        </w:rPr>
        <w:t>)</w:t>
      </w:r>
    </w:p>
    <w:p w14:paraId="2E0DBB93"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proofErr w:type="spellStart"/>
      <w:r w:rsidRPr="003E5542">
        <w:rPr>
          <w:rFonts w:eastAsia="Times New Roman" w:cstheme="minorHAnsi"/>
          <w:szCs w:val="20"/>
          <w:lang w:eastAsia="tr-TR"/>
        </w:rPr>
        <w:t>Medtria</w:t>
      </w:r>
      <w:proofErr w:type="spellEnd"/>
      <w:r w:rsidRPr="003E5542">
        <w:rPr>
          <w:rFonts w:eastAsia="Times New Roman" w:cstheme="minorHAnsi"/>
          <w:szCs w:val="20"/>
          <w:lang w:eastAsia="tr-TR"/>
        </w:rPr>
        <w:t xml:space="preserve"> Gümrük Müşavirliği A.Ş. olarak, hizmet kalitemizi destekleyen güçlü ve sürdürülebilir bir tedarik zinciri ağı oluşturmak temel hedeflerimiz arasındadır. Tedarik zinciri süreçlerimizde kalite, çevre, iş sağlığı ve güvenliği, sosyal sorumluluk ve etik ilkeleri esas alırız.</w:t>
      </w:r>
    </w:p>
    <w:p w14:paraId="5FE1B527"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Bu kapsamda:</w:t>
      </w:r>
    </w:p>
    <w:p w14:paraId="70EF8AF2"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Şeffaflık ve İzlenebilirlik:</w:t>
      </w:r>
    </w:p>
    <w:p w14:paraId="30B24C1E" w14:textId="77777777" w:rsidR="003E5542" w:rsidRPr="003E5542" w:rsidRDefault="003E5542" w:rsidP="003E5542">
      <w:pPr>
        <w:numPr>
          <w:ilvl w:val="0"/>
          <w:numId w:val="10"/>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Tedarik zinciri süreçlerimizde izlenebilirlik, doğrulanabilirlik ve belgeye dayalı sistemler kurarız.</w:t>
      </w:r>
    </w:p>
    <w:p w14:paraId="431EEB72" w14:textId="77777777" w:rsidR="003E5542" w:rsidRPr="003E5542" w:rsidRDefault="003E5542" w:rsidP="003E5542">
      <w:pPr>
        <w:numPr>
          <w:ilvl w:val="0"/>
          <w:numId w:val="10"/>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Tüm tedarikçilerle ilişkilerimizi adil, açık ve belgelenmiş bir çerçevede yönetiriz.</w:t>
      </w:r>
    </w:p>
    <w:p w14:paraId="143B585F"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Kalite ve Uyum:</w:t>
      </w:r>
    </w:p>
    <w:p w14:paraId="43B9F3D4" w14:textId="77777777" w:rsidR="003E5542" w:rsidRPr="003E5542" w:rsidRDefault="003E5542" w:rsidP="003E5542">
      <w:pPr>
        <w:numPr>
          <w:ilvl w:val="0"/>
          <w:numId w:val="11"/>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Tedarikçilerimizin ürün ve hizmetlerinin ISO 9001 ve ilgili kalite standartlarına uygun olmasına dikkat ederiz.</w:t>
      </w:r>
    </w:p>
    <w:p w14:paraId="4FCBD226" w14:textId="77777777" w:rsidR="003E5542" w:rsidRPr="003E5542" w:rsidRDefault="003E5542" w:rsidP="003E5542">
      <w:pPr>
        <w:numPr>
          <w:ilvl w:val="0"/>
          <w:numId w:val="11"/>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Yasal ve düzenleyici gerekliliklere uyum, seçim kriterlerimizin temelidir.</w:t>
      </w:r>
    </w:p>
    <w:p w14:paraId="5949D63E"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Çevre ve Sürdürülebilirlik:</w:t>
      </w:r>
    </w:p>
    <w:p w14:paraId="00ACEB95" w14:textId="77777777" w:rsidR="003E5542" w:rsidRPr="003E5542" w:rsidRDefault="003E5542" w:rsidP="003E5542">
      <w:pPr>
        <w:numPr>
          <w:ilvl w:val="0"/>
          <w:numId w:val="12"/>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Tedarikçilerimizin ISO 14001 gibi çevre standartlarına uygun, kaynak verimliliği sağlayan, karbon ayak izini düşüren uygulamalar yürütmesini teşvik ederiz.</w:t>
      </w:r>
    </w:p>
    <w:p w14:paraId="04D66B8E" w14:textId="77777777" w:rsidR="003E5542" w:rsidRPr="003E5542" w:rsidRDefault="003E5542" w:rsidP="003E5542">
      <w:pPr>
        <w:numPr>
          <w:ilvl w:val="0"/>
          <w:numId w:val="12"/>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Atık yönetimi, enerji kullanımı ve ambalajlama konularında çevreye duyarlı çözümleri destekleriz.</w:t>
      </w:r>
    </w:p>
    <w:p w14:paraId="30E8D173"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İş Sağlığı ve Güvenliği:</w:t>
      </w:r>
    </w:p>
    <w:p w14:paraId="6EB7E3DA" w14:textId="77777777" w:rsidR="003E5542" w:rsidRPr="003E5542" w:rsidRDefault="003E5542" w:rsidP="003E5542">
      <w:pPr>
        <w:numPr>
          <w:ilvl w:val="0"/>
          <w:numId w:val="13"/>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Tedarikçilerimizin iş sağlığı ve güvenliği tedbirlerini uygulayan, güvenli çalışma ortamları sağlayan kuruluşlar olmasını bekleriz.</w:t>
      </w:r>
    </w:p>
    <w:p w14:paraId="1FAD1028" w14:textId="77777777" w:rsidR="003E5542" w:rsidRPr="003E5542" w:rsidRDefault="003E5542" w:rsidP="003E5542">
      <w:pPr>
        <w:numPr>
          <w:ilvl w:val="0"/>
          <w:numId w:val="13"/>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Ortak iş güvenliği kültürü oluşturulmasına katkı sağlarız.</w:t>
      </w:r>
    </w:p>
    <w:p w14:paraId="4D518441"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Sosyal Sorumluluk ve Etik Uygunluk:</w:t>
      </w:r>
    </w:p>
    <w:p w14:paraId="4B4B9485" w14:textId="77777777" w:rsidR="003E5542" w:rsidRPr="003E5542" w:rsidRDefault="003E5542" w:rsidP="003E5542">
      <w:pPr>
        <w:numPr>
          <w:ilvl w:val="0"/>
          <w:numId w:val="14"/>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İnsan haklarına saygılı, ayrımcılık yapmayan, çocuk işçiliğini reddeden ve etik ticari davranışlar sergileyen tedarikçilerle çalışırız.</w:t>
      </w:r>
    </w:p>
    <w:p w14:paraId="2D8D832A" w14:textId="77777777" w:rsidR="003E5542" w:rsidRPr="003E5542" w:rsidRDefault="003E5542" w:rsidP="003E5542">
      <w:pPr>
        <w:numPr>
          <w:ilvl w:val="0"/>
          <w:numId w:val="14"/>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ISO 26000 doğrultusunda sosyal uygunluk denetimlerine açık iş ortaklarıyla uzun vadeli iş birliğini esas alırız.</w:t>
      </w:r>
    </w:p>
    <w:p w14:paraId="28EDBBB9" w14:textId="77777777" w:rsidR="003E5542" w:rsidRPr="003E5542" w:rsidRDefault="003E5542" w:rsidP="003E5542">
      <w:pPr>
        <w:shd w:val="clear" w:color="auto" w:fill="FFFFFF"/>
        <w:spacing w:after="150" w:line="279" w:lineRule="atLeast"/>
        <w:jc w:val="both"/>
        <w:rPr>
          <w:rFonts w:eastAsia="Times New Roman" w:cstheme="minorHAnsi"/>
          <w:szCs w:val="20"/>
          <w:lang w:eastAsia="tr-TR"/>
        </w:rPr>
      </w:pPr>
      <w:r w:rsidRPr="003E5542">
        <w:rPr>
          <w:rFonts w:ascii="Segoe UI Emoji" w:eastAsia="Times New Roman" w:hAnsi="Segoe UI Emoji" w:cs="Segoe UI Emoji"/>
          <w:szCs w:val="20"/>
          <w:lang w:eastAsia="tr-TR"/>
        </w:rPr>
        <w:t>🔹</w:t>
      </w:r>
      <w:r w:rsidRPr="003E5542">
        <w:rPr>
          <w:rFonts w:eastAsia="Times New Roman" w:cstheme="minorHAnsi"/>
          <w:szCs w:val="20"/>
          <w:lang w:eastAsia="tr-TR"/>
        </w:rPr>
        <w:t xml:space="preserve"> Risk ve Acil Durum Yönetimi:</w:t>
      </w:r>
    </w:p>
    <w:p w14:paraId="43477D67" w14:textId="77777777" w:rsidR="003E5542" w:rsidRPr="003E5542" w:rsidRDefault="003E5542" w:rsidP="003E5542">
      <w:pPr>
        <w:numPr>
          <w:ilvl w:val="0"/>
          <w:numId w:val="15"/>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Tedarik zincirine ilişkin operasyonel riskleri belirler, önleyici tedbirler alırız.</w:t>
      </w:r>
    </w:p>
    <w:p w14:paraId="28A2A00D" w14:textId="77777777" w:rsidR="003E5542" w:rsidRPr="003E5542" w:rsidRDefault="003E5542" w:rsidP="003E5542">
      <w:pPr>
        <w:numPr>
          <w:ilvl w:val="0"/>
          <w:numId w:val="15"/>
        </w:num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Kriz dönemlerinde alternatif kaynak planlaması ve iş sürekliliği ilkelerine uygun yönetim uygularız.</w:t>
      </w:r>
    </w:p>
    <w:p w14:paraId="01E2DF14" w14:textId="239153A8" w:rsidR="003E5542" w:rsidRPr="003E5542" w:rsidRDefault="003E5542" w:rsidP="003E5542">
      <w:pPr>
        <w:shd w:val="clear" w:color="auto" w:fill="FFFFFF"/>
        <w:spacing w:after="150" w:line="279" w:lineRule="atLeast"/>
        <w:jc w:val="both"/>
        <w:rPr>
          <w:rFonts w:eastAsia="Times New Roman" w:cstheme="minorHAnsi"/>
          <w:szCs w:val="20"/>
          <w:lang w:eastAsia="tr-TR"/>
        </w:rPr>
      </w:pPr>
    </w:p>
    <w:p w14:paraId="74E26C1A" w14:textId="1F912BC5" w:rsidR="009B63DC" w:rsidRPr="003E5542" w:rsidRDefault="003E5542" w:rsidP="00AC2DA0">
      <w:pPr>
        <w:shd w:val="clear" w:color="auto" w:fill="FFFFFF"/>
        <w:spacing w:after="150" w:line="279" w:lineRule="atLeast"/>
        <w:jc w:val="both"/>
        <w:rPr>
          <w:rFonts w:eastAsia="Times New Roman" w:cstheme="minorHAnsi"/>
          <w:szCs w:val="20"/>
          <w:lang w:eastAsia="tr-TR"/>
        </w:rPr>
      </w:pPr>
      <w:r w:rsidRPr="003E5542">
        <w:rPr>
          <w:rFonts w:eastAsia="Times New Roman" w:cstheme="minorHAnsi"/>
          <w:szCs w:val="20"/>
          <w:lang w:eastAsia="tr-TR"/>
        </w:rPr>
        <w:t>Yönetim olarak, bu politikanın tüm çalışanlarımız ve iş ortaklarımız tarafından anlaşılmasını, uygulanmasını ve sürekli geliştirilmesini sağlamak için liderlik etmeyi ve gerekli kaynakları sağlamayı taahhüt ederiz.</w:t>
      </w:r>
    </w:p>
    <w:sectPr w:rsidR="009B63DC" w:rsidRPr="003E5542" w:rsidSect="009236D2">
      <w:headerReference w:type="default" r:id="rId7"/>
      <w:footerReference w:type="default" r:id="rId8"/>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4FA3E9BC" w:rsidR="009236D2" w:rsidRDefault="009236D2" w:rsidP="009236D2">
    <w:pPr>
      <w:pStyle w:val="AltBilgi"/>
      <w:rPr>
        <w:b/>
        <w:bCs/>
      </w:rPr>
    </w:pPr>
    <w:r>
      <w:rPr>
        <w:b/>
        <w:bCs/>
        <w:sz w:val="20"/>
        <w:szCs w:val="20"/>
      </w:rPr>
      <w:t xml:space="preserve">Dok. No: P </w:t>
    </w:r>
    <w:r w:rsidR="003E5542">
      <w:rPr>
        <w:b/>
        <w:bCs/>
        <w:sz w:val="20"/>
        <w:szCs w:val="20"/>
      </w:rPr>
      <w:t>50</w:t>
    </w:r>
    <w:r>
      <w:rPr>
        <w:b/>
        <w:bCs/>
        <w:sz w:val="20"/>
        <w:szCs w:val="20"/>
      </w:rPr>
      <w:t xml:space="preserve"> – Yayın Tar.: </w:t>
    </w:r>
    <w:r w:rsidR="00025497">
      <w:rPr>
        <w:b/>
        <w:bCs/>
        <w:sz w:val="20"/>
        <w:szCs w:val="20"/>
      </w:rPr>
      <w:t>02.03.2025</w:t>
    </w:r>
    <w:r>
      <w:rPr>
        <w:b/>
        <w:bCs/>
        <w:sz w:val="20"/>
        <w:szCs w:val="20"/>
      </w:rPr>
      <w:t xml:space="preserve"> – </w:t>
    </w:r>
    <w:proofErr w:type="spellStart"/>
    <w:r>
      <w:rPr>
        <w:b/>
        <w:bCs/>
        <w:sz w:val="20"/>
        <w:szCs w:val="20"/>
      </w:rPr>
      <w:t>Rev</w:t>
    </w:r>
    <w:proofErr w:type="spellEnd"/>
    <w:r>
      <w:rPr>
        <w:b/>
        <w:bCs/>
        <w:sz w:val="20"/>
        <w:szCs w:val="20"/>
      </w:rPr>
      <w:t>. No: 00</w:t>
    </w:r>
  </w:p>
  <w:p w14:paraId="3A27DD7B" w14:textId="77777777" w:rsidR="00397E1A" w:rsidRPr="009236D2" w:rsidRDefault="00397E1A" w:rsidP="00923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6254FA50">
          <wp:extent cx="19659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029"/>
    <w:multiLevelType w:val="multilevel"/>
    <w:tmpl w:val="43C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90251"/>
    <w:multiLevelType w:val="multilevel"/>
    <w:tmpl w:val="0DB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53AD"/>
    <w:multiLevelType w:val="multilevel"/>
    <w:tmpl w:val="AF7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E2712"/>
    <w:multiLevelType w:val="multilevel"/>
    <w:tmpl w:val="3A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B3708"/>
    <w:multiLevelType w:val="multilevel"/>
    <w:tmpl w:val="F0B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B4BBA"/>
    <w:multiLevelType w:val="multilevel"/>
    <w:tmpl w:val="B54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571D1"/>
    <w:multiLevelType w:val="multilevel"/>
    <w:tmpl w:val="767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34E66"/>
    <w:multiLevelType w:val="multilevel"/>
    <w:tmpl w:val="E6A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BA261F"/>
    <w:multiLevelType w:val="multilevel"/>
    <w:tmpl w:val="367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834ED"/>
    <w:multiLevelType w:val="multilevel"/>
    <w:tmpl w:val="70A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A5A07"/>
    <w:multiLevelType w:val="multilevel"/>
    <w:tmpl w:val="2A2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70396">
    <w:abstractNumId w:val="11"/>
  </w:num>
  <w:num w:numId="2" w16cid:durableId="993609271">
    <w:abstractNumId w:val="3"/>
  </w:num>
  <w:num w:numId="3" w16cid:durableId="1983804595">
    <w:abstractNumId w:val="2"/>
  </w:num>
  <w:num w:numId="4" w16cid:durableId="1039860186">
    <w:abstractNumId w:val="1"/>
  </w:num>
  <w:num w:numId="5" w16cid:durableId="1346711763">
    <w:abstractNumId w:val="14"/>
  </w:num>
  <w:num w:numId="6" w16cid:durableId="1353414779">
    <w:abstractNumId w:val="10"/>
  </w:num>
  <w:num w:numId="7" w16cid:durableId="287709139">
    <w:abstractNumId w:val="13"/>
  </w:num>
  <w:num w:numId="8" w16cid:durableId="503132303">
    <w:abstractNumId w:val="8"/>
  </w:num>
  <w:num w:numId="9" w16cid:durableId="1828133284">
    <w:abstractNumId w:val="6"/>
  </w:num>
  <w:num w:numId="10" w16cid:durableId="961955301">
    <w:abstractNumId w:val="0"/>
  </w:num>
  <w:num w:numId="11" w16cid:durableId="1539128948">
    <w:abstractNumId w:val="9"/>
  </w:num>
  <w:num w:numId="12" w16cid:durableId="70661417">
    <w:abstractNumId w:val="5"/>
  </w:num>
  <w:num w:numId="13" w16cid:durableId="315960341">
    <w:abstractNumId w:val="4"/>
  </w:num>
  <w:num w:numId="14" w16cid:durableId="1566063894">
    <w:abstractNumId w:val="12"/>
  </w:num>
  <w:num w:numId="15" w16cid:durableId="62919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21BAC"/>
    <w:rsid w:val="00025497"/>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B2E7B"/>
    <w:rsid w:val="002D7FD8"/>
    <w:rsid w:val="003039CB"/>
    <w:rsid w:val="00330788"/>
    <w:rsid w:val="00397E1A"/>
    <w:rsid w:val="003A7F68"/>
    <w:rsid w:val="003E5542"/>
    <w:rsid w:val="00433199"/>
    <w:rsid w:val="00482FFA"/>
    <w:rsid w:val="00547D0D"/>
    <w:rsid w:val="00562F38"/>
    <w:rsid w:val="005E343F"/>
    <w:rsid w:val="00623509"/>
    <w:rsid w:val="006353AF"/>
    <w:rsid w:val="0065590B"/>
    <w:rsid w:val="00680187"/>
    <w:rsid w:val="006F2ABA"/>
    <w:rsid w:val="0071444D"/>
    <w:rsid w:val="00715F85"/>
    <w:rsid w:val="00755AE0"/>
    <w:rsid w:val="00766059"/>
    <w:rsid w:val="00783C90"/>
    <w:rsid w:val="007F556D"/>
    <w:rsid w:val="00830D8F"/>
    <w:rsid w:val="008366A5"/>
    <w:rsid w:val="00891C3B"/>
    <w:rsid w:val="008A3FF1"/>
    <w:rsid w:val="008C37B4"/>
    <w:rsid w:val="008E42D6"/>
    <w:rsid w:val="009236D2"/>
    <w:rsid w:val="009754CD"/>
    <w:rsid w:val="009B63DC"/>
    <w:rsid w:val="00AA5AA4"/>
    <w:rsid w:val="00AC2AA6"/>
    <w:rsid w:val="00AC2DA0"/>
    <w:rsid w:val="00AD5B60"/>
    <w:rsid w:val="00AD7268"/>
    <w:rsid w:val="00B01C33"/>
    <w:rsid w:val="00B2230F"/>
    <w:rsid w:val="00B40AA7"/>
    <w:rsid w:val="00BC6618"/>
    <w:rsid w:val="00BC6921"/>
    <w:rsid w:val="00BD6A21"/>
    <w:rsid w:val="00C87DD2"/>
    <w:rsid w:val="00CF74CE"/>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909269182">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137261151">
      <w:bodyDiv w:val="1"/>
      <w:marLeft w:val="0"/>
      <w:marRight w:val="0"/>
      <w:marTop w:val="0"/>
      <w:marBottom w:val="0"/>
      <w:divBdr>
        <w:top w:val="none" w:sz="0" w:space="0" w:color="auto"/>
        <w:left w:val="none" w:sz="0" w:space="0" w:color="auto"/>
        <w:bottom w:val="none" w:sz="0" w:space="0" w:color="auto"/>
        <w:right w:val="none" w:sz="0" w:space="0" w:color="auto"/>
      </w:divBdr>
    </w:div>
    <w:div w:id="1550530401">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1747531778">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303</Words>
  <Characters>1733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44</cp:revision>
  <dcterms:created xsi:type="dcterms:W3CDTF">2018-10-14T18:10:00Z</dcterms:created>
  <dcterms:modified xsi:type="dcterms:W3CDTF">2025-07-03T14:10:00Z</dcterms:modified>
</cp:coreProperties>
</file>